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EA" w:rsidRPr="004E36B0" w:rsidRDefault="004E36B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60"/>
        <w:rPr>
          <w:rFonts w:ascii="Arial" w:eastAsia="Arial" w:hAnsi="Arial" w:cs="Arial"/>
          <w:color w:val="365F91" w:themeColor="accent1" w:themeShade="BF"/>
          <w:sz w:val="47"/>
          <w:szCs w:val="47"/>
        </w:rPr>
      </w:pPr>
      <w:r w:rsidRPr="004E36B0">
        <w:rPr>
          <w:rFonts w:ascii="Arial" w:eastAsia="Arial" w:hAnsi="Arial" w:cs="Arial"/>
          <w:color w:val="365F91" w:themeColor="accent1" w:themeShade="BF"/>
          <w:sz w:val="47"/>
          <w:szCs w:val="47"/>
        </w:rPr>
        <w:t>The Tree Model of Culture</w:t>
      </w:r>
    </w:p>
    <w:p w:rsidR="00E86BEA" w:rsidRPr="00BB4EE6" w:rsidRDefault="004E36B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Calibri" w:eastAsia="Calibri" w:hAnsi="Calibri" w:cs="Calibri"/>
          <w:b/>
          <w:smallCaps/>
          <w:color w:val="365F91" w:themeColor="accent1" w:themeShade="BF"/>
          <w:sz w:val="32"/>
          <w:szCs w:val="26"/>
        </w:rPr>
      </w:pPr>
      <w:r w:rsidRPr="00BB4EE6">
        <w:rPr>
          <w:rFonts w:ascii="Calibri" w:eastAsia="Calibri" w:hAnsi="Calibri" w:cs="Calibri"/>
          <w:b/>
          <w:smallCaps/>
          <w:color w:val="365F91" w:themeColor="accent1" w:themeShade="BF"/>
          <w:sz w:val="32"/>
          <w:szCs w:val="26"/>
        </w:rPr>
        <w:t>The Tree Model of Culture:</w:t>
      </w:r>
    </w:p>
    <w:p w:rsidR="00E86BEA" w:rsidRPr="00BB4EE6" w:rsidRDefault="004E36B0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Lucida Bright" w:eastAsia="Lucida Bright" w:hAnsi="Lucida Bright" w:cs="Lucida Bright"/>
          <w:color w:val="000000"/>
          <w:szCs w:val="21"/>
        </w:rPr>
      </w:pPr>
      <w:r w:rsidRPr="00BB4EE6">
        <w:rPr>
          <w:rFonts w:ascii="Lucida Bright" w:eastAsia="Lucida Bright" w:hAnsi="Lucida Bright" w:cs="Lucida Bright"/>
          <w:color w:val="000000"/>
          <w:szCs w:val="21"/>
        </w:rPr>
        <w:t xml:space="preserve">A tree model is one way to think about dimensions of </w:t>
      </w:r>
      <w:proofErr w:type="gramStart"/>
      <w:r w:rsidRPr="00BB4EE6">
        <w:rPr>
          <w:rFonts w:ascii="Lucida Bright" w:eastAsia="Lucida Bright" w:hAnsi="Lucida Bright" w:cs="Lucida Bright"/>
          <w:color w:val="000000"/>
          <w:szCs w:val="21"/>
        </w:rPr>
        <w:t>culture and how they can interact</w:t>
      </w:r>
      <w:proofErr w:type="gramEnd"/>
      <w:r w:rsidRPr="00BB4EE6">
        <w:rPr>
          <w:rFonts w:ascii="Lucida Bright" w:eastAsia="Lucida Bright" w:hAnsi="Lucida Bright" w:cs="Lucida Bright"/>
          <w:color w:val="000000"/>
          <w:szCs w:val="21"/>
        </w:rPr>
        <w:t>.  Like trees, cultures come in a wide variety and are continually growing and changing—adapting to ever-changing environments.  A culture has some parts that you can observe through many senses “above ground.”  At the same time, important foundational aspects</w:t>
      </w:r>
      <w:r w:rsidRPr="00BB4EE6">
        <w:rPr>
          <w:rFonts w:ascii="Lucida Bright" w:eastAsia="Lucida Bright" w:hAnsi="Lucida Bright" w:cs="Lucida Bright"/>
          <w:color w:val="000000"/>
          <w:szCs w:val="21"/>
          <w:vertAlign w:val="superscript"/>
        </w:rPr>
        <w:footnoteReference w:id="1"/>
      </w:r>
      <w:r w:rsidRPr="00BB4EE6">
        <w:rPr>
          <w:rFonts w:ascii="Lucida Bright" w:eastAsia="Lucida Bright" w:hAnsi="Lucida Bright" w:cs="Lucida Bright"/>
          <w:color w:val="000000"/>
          <w:szCs w:val="21"/>
        </w:rPr>
        <w:t xml:space="preserve"> of culture are not observable; these roots are “below ground”—usually primarily out of our awareness—and yet have a profound connection to each part of the whole.</w:t>
      </w:r>
    </w:p>
    <w:p w:rsidR="00E86BEA" w:rsidRDefault="004E36B0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Lucida Bright" w:eastAsia="Lucida Bright" w:hAnsi="Lucida Bright" w:cs="Lucida Bright"/>
          <w:color w:val="000000"/>
          <w:sz w:val="21"/>
          <w:szCs w:val="21"/>
        </w:rPr>
      </w:pPr>
      <w:r>
        <w:rPr>
          <w:rFonts w:ascii="Lucida Bright" w:eastAsia="Lucida Bright" w:hAnsi="Lucida Bright" w:cs="Lucida Bright"/>
          <w:color w:val="000000"/>
          <w:sz w:val="21"/>
          <w:szCs w:val="21"/>
        </w:rPr>
        <w:t xml:space="preserve">  </w:t>
      </w:r>
    </w:p>
    <w:p w:rsidR="00E86BEA" w:rsidRDefault="00BB4EE6">
      <w:p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rPr>
          <w:rFonts w:ascii="Lucida Bright" w:eastAsia="Lucida Bright" w:hAnsi="Lucida Bright" w:cs="Lucida Brigh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3411856</wp:posOffset>
                </wp:positionV>
                <wp:extent cx="6154420" cy="1447800"/>
                <wp:effectExtent l="0" t="0" r="17780" b="1905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42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86BEA" w:rsidRDefault="004E36B0">
                            <w:pPr>
                              <w:textDirection w:val="btLr"/>
                            </w:pPr>
                            <w:proofErr w:type="gramStart"/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Below Ground (primarily out of our awareness)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: Ordering of time; preference for competition or cooperation, arrangement of physical space; rules of descent; relationship to animals; ideals governing child raising; patters of superior/subordinate relations; courtship practices; conceptions of justice, of past and future, of beauty, of cleanliness, of status mobility, and of “self”; notions of logic and validity, of adolescence, of modesty, and of leadership; tempo of and incentives to work; patterns of group decision-making; attitudes to the dependent; theory of disease; approaches to problem-solving; roles in relation to status by age, sex, class, occupation, kinship, etc.; nature of friendship; patterns of handling emotions; definition of insanity; conversational patterns in various social contexts; social interaction rate; and more.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margin-left:18pt;margin-top:268.65pt;width:484.6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E86BEA" w:rsidRDefault="004E36B0">
                      <w:pPr>
                        <w:textDirection w:val="btLr"/>
                      </w:pPr>
                      <w:proofErr w:type="gramStart"/>
                      <w:r>
                        <w:rPr>
                          <w:b/>
                          <w:color w:val="000000"/>
                          <w:sz w:val="22"/>
                        </w:rPr>
                        <w:t>Below Ground (primarily out of our awareness)</w:t>
                      </w:r>
                      <w:r>
                        <w:rPr>
                          <w:color w:val="000000"/>
                          <w:sz w:val="22"/>
                        </w:rPr>
                        <w:t>: Ordering of time; preference for competition or cooperation, arrangement of physical space; rules of descent; relationship to animals; ideals governing child raising; patters of superior/subordinate relations; courtship practices; conceptions of justice, of past and future, of beauty, of cleanliness, of status mobility, and of “self”; notions of logic and validity, of adolescence, of modesty, and of leadership; tempo of and incentives to work; patterns of group decision-making; attitudes to the dependent; theory of disease; approaches to problem-solving; roles in relation to status by age, sex, class, occupation, kinship, etc.; nature of friendship; patterns of handling emotions; definition of insanity; conversational patterns in various social contexts; social interaction rate; and more.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4E36B0">
        <w:rPr>
          <w:rFonts w:ascii="Lucida Bright" w:eastAsia="Lucida Bright" w:hAnsi="Lucida Bright" w:cs="Lucida Bright"/>
          <w:color w:val="000000"/>
          <w:sz w:val="21"/>
          <w:szCs w:val="21"/>
        </w:rPr>
        <w:t xml:space="preserve">              </w:t>
      </w:r>
      <w:r w:rsidR="004E36B0">
        <w:rPr>
          <w:rFonts w:ascii="Lucida Bright" w:eastAsia="Lucida Bright" w:hAnsi="Lucida Bright" w:cs="Lucida Bright"/>
          <w:noProof/>
          <w:color w:val="000000"/>
          <w:sz w:val="21"/>
          <w:szCs w:val="21"/>
        </w:rPr>
        <w:drawing>
          <wp:inline distT="0" distB="0" distL="0" distR="0">
            <wp:extent cx="4686300" cy="3295650"/>
            <wp:effectExtent l="0" t="0" r="0" b="0"/>
            <wp:docPr id="4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295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E36B0">
        <w:rPr>
          <w:rFonts w:ascii="Lucida Bright" w:eastAsia="Lucida Bright" w:hAnsi="Lucida Bright" w:cs="Lucida Bright"/>
          <w:color w:val="000000"/>
          <w:sz w:val="21"/>
          <w:szCs w:val="21"/>
        </w:rPr>
        <w:t xml:space="preserve">  </w:t>
      </w:r>
      <w:r w:rsidR="004E36B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5016500</wp:posOffset>
                </wp:positionH>
                <wp:positionV relativeFrom="paragraph">
                  <wp:posOffset>177800</wp:posOffset>
                </wp:positionV>
                <wp:extent cx="1340182" cy="1892916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0672" y="2838305"/>
                          <a:ext cx="1330657" cy="1883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86BEA" w:rsidRDefault="004E36B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Above Ground (primarily in our awareness):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  <w:p w:rsidR="00E86BEA" w:rsidRDefault="004E36B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Dress, fine arts, literature, drama, classical music, popular music, folk-dancing, games, cooking, social interaction preferences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395pt;margin-top:14pt;width:105.55pt;height:149.0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E86BEA" w:rsidRDefault="004E36B0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2"/>
                        </w:rPr>
                        <w:t>Above Ground (primarily in our awareness):</w:t>
                      </w:r>
                      <w:r>
                        <w:rPr>
                          <w:color w:val="000000"/>
                          <w:sz w:val="22"/>
                        </w:rPr>
                        <w:t xml:space="preserve"> </w:t>
                      </w:r>
                    </w:p>
                    <w:p w:rsidR="00E86BEA" w:rsidRDefault="004E36B0">
                      <w:pPr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>Dress, fine arts, literature, drama, classical music, popular music, folk-dancing, games, cooking, social interaction preferences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86BEA" w:rsidRDefault="00E86BEA">
      <w:p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rPr>
          <w:rFonts w:ascii="Lucida Bright" w:eastAsia="Lucida Bright" w:hAnsi="Lucida Bright" w:cs="Lucida Bright"/>
          <w:color w:val="000000"/>
          <w:sz w:val="21"/>
          <w:szCs w:val="21"/>
        </w:rPr>
      </w:pPr>
    </w:p>
    <w:p w:rsidR="00E86BEA" w:rsidRDefault="00E86BEA">
      <w:p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rPr>
          <w:rFonts w:ascii="Lucida Bright" w:eastAsia="Lucida Bright" w:hAnsi="Lucida Bright" w:cs="Lucida Bright"/>
          <w:color w:val="000000"/>
          <w:sz w:val="21"/>
          <w:szCs w:val="21"/>
        </w:rPr>
      </w:pPr>
    </w:p>
    <w:p w:rsidR="00E86BEA" w:rsidRDefault="00E86BEA">
      <w:p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rPr>
          <w:rFonts w:ascii="Lucida Bright" w:eastAsia="Lucida Bright" w:hAnsi="Lucida Bright" w:cs="Lucida Bright"/>
          <w:color w:val="000000"/>
          <w:sz w:val="21"/>
          <w:szCs w:val="21"/>
        </w:rPr>
      </w:pPr>
    </w:p>
    <w:p w:rsidR="00E86BEA" w:rsidRDefault="00E86BE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Calibri" w:eastAsia="Calibri" w:hAnsi="Calibri" w:cs="Calibri"/>
          <w:b/>
          <w:smallCaps/>
          <w:color w:val="7A0019"/>
          <w:sz w:val="26"/>
          <w:szCs w:val="26"/>
        </w:rPr>
      </w:pPr>
    </w:p>
    <w:p w:rsidR="00E86BEA" w:rsidRDefault="004E36B0">
      <w:pPr>
        <w:spacing w:after="200"/>
        <w:rPr>
          <w:rFonts w:ascii="Calibri" w:eastAsia="Calibri" w:hAnsi="Calibri" w:cs="Calibri"/>
          <w:b/>
          <w:smallCaps/>
          <w:color w:val="7A0019"/>
          <w:sz w:val="26"/>
          <w:szCs w:val="26"/>
        </w:rPr>
      </w:pPr>
      <w:r>
        <w:br w:type="page"/>
      </w:r>
    </w:p>
    <w:p w:rsidR="00E86BEA" w:rsidRPr="00BB4EE6" w:rsidRDefault="004E36B0" w:rsidP="00BB4EE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Calibri" w:eastAsia="Calibri" w:hAnsi="Calibri" w:cs="Calibri"/>
          <w:b/>
          <w:smallCaps/>
          <w:color w:val="365F91" w:themeColor="accent1" w:themeShade="BF"/>
          <w:sz w:val="32"/>
          <w:szCs w:val="26"/>
        </w:rPr>
      </w:pPr>
      <w:r w:rsidRPr="00BB4EE6">
        <w:rPr>
          <w:rFonts w:ascii="Calibri" w:eastAsia="Calibri" w:hAnsi="Calibri" w:cs="Calibri"/>
          <w:b/>
          <w:smallCaps/>
          <w:color w:val="365F91" w:themeColor="accent1" w:themeShade="BF"/>
          <w:sz w:val="32"/>
          <w:szCs w:val="26"/>
        </w:rPr>
        <w:lastRenderedPageBreak/>
        <w:t>Definitions of Culture:</w:t>
      </w:r>
    </w:p>
    <w:p w:rsidR="00E86BEA" w:rsidRPr="00BB4EE6" w:rsidRDefault="004E36B0">
      <w:p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rPr>
          <w:rFonts w:ascii="Lucida Bright" w:eastAsia="Lucida Bright" w:hAnsi="Lucida Bright" w:cs="Lucida Bright"/>
          <w:color w:val="000000"/>
          <w:szCs w:val="21"/>
        </w:rPr>
      </w:pPr>
      <w:r w:rsidRPr="00BB4EE6">
        <w:rPr>
          <w:rFonts w:ascii="Lucida Bright" w:eastAsia="Lucida Bright" w:hAnsi="Lucida Bright" w:cs="Lucida Bright"/>
          <w:color w:val="000000"/>
          <w:szCs w:val="21"/>
        </w:rPr>
        <w:t>The concept of culture has many definitions.  Here are two good ones:</w:t>
      </w:r>
    </w:p>
    <w:p w:rsidR="00E86BEA" w:rsidRPr="00BB4EE6" w:rsidRDefault="004E36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rPr>
          <w:color w:val="000000"/>
          <w:sz w:val="25"/>
          <w:szCs w:val="21"/>
        </w:rPr>
      </w:pPr>
      <w:r w:rsidRPr="00BB4EE6">
        <w:rPr>
          <w:rFonts w:ascii="Lucida Bright" w:eastAsia="Lucida Bright" w:hAnsi="Lucida Bright" w:cs="Lucida Bright"/>
          <w:color w:val="000000"/>
          <w:szCs w:val="21"/>
        </w:rPr>
        <w:t>More than traits, values, customs, artifacts and institutions. It is also a way of being, thinking, organizing knowledge, reasoning, problem solving, valuing past, present, and future; and relating to others.</w:t>
      </w:r>
      <w:r w:rsidRPr="00BB4EE6">
        <w:rPr>
          <w:rFonts w:ascii="Lucida Bright" w:eastAsia="Lucida Bright" w:hAnsi="Lucida Bright" w:cs="Lucida Bright"/>
          <w:color w:val="000000"/>
          <w:szCs w:val="21"/>
          <w:vertAlign w:val="superscript"/>
        </w:rPr>
        <w:footnoteReference w:id="2"/>
      </w:r>
    </w:p>
    <w:p w:rsidR="00E86BEA" w:rsidRPr="00BB4EE6" w:rsidRDefault="004E36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rPr>
          <w:color w:val="000000"/>
          <w:sz w:val="25"/>
          <w:szCs w:val="21"/>
        </w:rPr>
      </w:pPr>
      <w:r w:rsidRPr="00BB4EE6">
        <w:rPr>
          <w:rFonts w:ascii="Lucida Bright" w:eastAsia="Lucida Bright" w:hAnsi="Lucida Bright" w:cs="Lucida Bright"/>
          <w:color w:val="000000"/>
          <w:szCs w:val="21"/>
        </w:rPr>
        <w:t>Culture is the collective programming of the human mind that distinguishes the members of one human group from those of another. Culture in this sense is a system of collectively held values.</w:t>
      </w:r>
      <w:r w:rsidRPr="00BB4EE6">
        <w:rPr>
          <w:rFonts w:ascii="Lucida Bright" w:eastAsia="Lucida Bright" w:hAnsi="Lucida Bright" w:cs="Lucida Bright"/>
          <w:color w:val="000000"/>
          <w:szCs w:val="21"/>
          <w:vertAlign w:val="superscript"/>
        </w:rPr>
        <w:footnoteReference w:id="3"/>
      </w:r>
    </w:p>
    <w:p w:rsidR="00E86BEA" w:rsidRPr="00BB4EE6" w:rsidRDefault="004E36B0">
      <w:p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rPr>
          <w:rFonts w:ascii="Lucida Bright" w:eastAsia="Lucida Bright" w:hAnsi="Lucida Bright" w:cs="Lucida Bright"/>
          <w:color w:val="000000"/>
          <w:szCs w:val="21"/>
        </w:rPr>
      </w:pPr>
      <w:r w:rsidRPr="00BB4EE6">
        <w:rPr>
          <w:rFonts w:ascii="Lucida Bright" w:eastAsia="Lucida Bright" w:hAnsi="Lucida Bright" w:cs="Lucida Bright"/>
          <w:color w:val="000000"/>
          <w:szCs w:val="21"/>
        </w:rPr>
        <w:t>Culture with a big “C” (</w:t>
      </w:r>
      <w:r w:rsidRPr="00BB4EE6">
        <w:rPr>
          <w:rFonts w:ascii="Lucida Bright" w:eastAsia="Lucida Bright" w:hAnsi="Lucida Bright" w:cs="Lucida Bright"/>
          <w:i/>
          <w:color w:val="000000"/>
          <w:szCs w:val="21"/>
        </w:rPr>
        <w:t>Culture</w:t>
      </w:r>
      <w:r w:rsidRPr="00BB4EE6">
        <w:rPr>
          <w:rFonts w:ascii="Lucida Bright" w:eastAsia="Lucida Bright" w:hAnsi="Lucida Bright" w:cs="Lucida Bright"/>
          <w:color w:val="000000"/>
          <w:szCs w:val="21"/>
        </w:rPr>
        <w:t>) includes dance, food, lecture, classical music, cultural systems; cultural institutions among groups of people</w:t>
      </w:r>
      <w:proofErr w:type="gramStart"/>
      <w:r w:rsidRPr="00BB4EE6">
        <w:rPr>
          <w:rFonts w:ascii="Lucida Bright" w:eastAsia="Lucida Bright" w:hAnsi="Lucida Bright" w:cs="Lucida Bright"/>
          <w:color w:val="000000"/>
          <w:szCs w:val="21"/>
        </w:rPr>
        <w:t>;</w:t>
      </w:r>
      <w:proofErr w:type="gramEnd"/>
      <w:r w:rsidRPr="00BB4EE6">
        <w:rPr>
          <w:rFonts w:ascii="Lucida Bright" w:eastAsia="Lucida Bright" w:hAnsi="Lucida Bright" w:cs="Lucida Bright"/>
          <w:color w:val="000000"/>
          <w:szCs w:val="21"/>
        </w:rPr>
        <w:t xml:space="preserve"> these things can usually be seen.  Culture with a little “c” (</w:t>
      </w:r>
      <w:r w:rsidRPr="00BB4EE6">
        <w:rPr>
          <w:rFonts w:ascii="Lucida Bright" w:eastAsia="Lucida Bright" w:hAnsi="Lucida Bright" w:cs="Lucida Bright"/>
          <w:i/>
          <w:color w:val="000000"/>
          <w:szCs w:val="21"/>
        </w:rPr>
        <w:t>culture</w:t>
      </w:r>
      <w:r w:rsidRPr="00BB4EE6">
        <w:rPr>
          <w:rFonts w:ascii="Lucida Bright" w:eastAsia="Lucida Bright" w:hAnsi="Lucida Bright" w:cs="Lucida Bright"/>
          <w:color w:val="000000"/>
          <w:szCs w:val="21"/>
        </w:rPr>
        <w:t xml:space="preserve">) includes subjective behaviors and values within a culture </w:t>
      </w:r>
      <w:proofErr w:type="gramStart"/>
      <w:r w:rsidRPr="00BB4EE6">
        <w:rPr>
          <w:rFonts w:ascii="Lucida Bright" w:eastAsia="Lucida Bright" w:hAnsi="Lucida Bright" w:cs="Lucida Bright"/>
          <w:color w:val="000000"/>
          <w:szCs w:val="21"/>
        </w:rPr>
        <w:t>which  are</w:t>
      </w:r>
      <w:proofErr w:type="gramEnd"/>
      <w:r w:rsidRPr="00BB4EE6">
        <w:rPr>
          <w:rFonts w:ascii="Lucida Bright" w:eastAsia="Lucida Bright" w:hAnsi="Lucida Bright" w:cs="Lucida Bright"/>
          <w:color w:val="000000"/>
          <w:szCs w:val="21"/>
        </w:rPr>
        <w:t xml:space="preserve"> not observable from the outside.</w:t>
      </w:r>
      <w:r w:rsidRPr="00BB4EE6">
        <w:rPr>
          <w:rFonts w:ascii="Lucida Bright" w:eastAsia="Lucida Bright" w:hAnsi="Lucida Bright" w:cs="Lucida Bright"/>
          <w:color w:val="000000"/>
          <w:szCs w:val="21"/>
          <w:vertAlign w:val="superscript"/>
        </w:rPr>
        <w:footnoteReference w:id="4"/>
      </w:r>
      <w:r w:rsidRPr="00BB4EE6">
        <w:rPr>
          <w:rFonts w:ascii="Lucida Bright" w:eastAsia="Lucida Bright" w:hAnsi="Lucida Bright" w:cs="Lucida Bright"/>
          <w:color w:val="000000"/>
          <w:szCs w:val="21"/>
        </w:rPr>
        <w:t xml:space="preserve">  These relate to the above and below ground parts of the tree model.</w:t>
      </w:r>
    </w:p>
    <w:p w:rsidR="00E86BEA" w:rsidRPr="00BB4EE6" w:rsidRDefault="004E36B0">
      <w:p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rPr>
          <w:rFonts w:ascii="Lucida Bright" w:eastAsia="Lucida Bright" w:hAnsi="Lucida Bright" w:cs="Lucida Bright"/>
          <w:color w:val="000000"/>
          <w:szCs w:val="21"/>
        </w:rPr>
      </w:pPr>
      <w:r w:rsidRPr="00BB4EE6">
        <w:rPr>
          <w:rFonts w:ascii="Lucida Bright" w:eastAsia="Lucida Bright" w:hAnsi="Lucida Bright" w:cs="Lucida Bright"/>
          <w:color w:val="000000"/>
          <w:szCs w:val="21"/>
        </w:rPr>
        <w:t xml:space="preserve">As we work towards culturally inclusive and open relationships, remember that differences in culture and values </w:t>
      </w:r>
      <w:proofErr w:type="gramStart"/>
      <w:r w:rsidRPr="00BB4EE6">
        <w:rPr>
          <w:rFonts w:ascii="Lucida Bright" w:eastAsia="Lucida Bright" w:hAnsi="Lucida Bright" w:cs="Lucida Bright"/>
          <w:color w:val="000000"/>
          <w:szCs w:val="21"/>
        </w:rPr>
        <w:t>aren’t</w:t>
      </w:r>
      <w:proofErr w:type="gramEnd"/>
      <w:r w:rsidRPr="00BB4EE6">
        <w:rPr>
          <w:rFonts w:ascii="Lucida Bright" w:eastAsia="Lucida Bright" w:hAnsi="Lucida Bright" w:cs="Lucida Bright"/>
          <w:color w:val="000000"/>
          <w:szCs w:val="21"/>
        </w:rPr>
        <w:t xml:space="preserve"> things that need to be “fixed.”  Rather, it is the responsibility of everyone to work toward a mutual understanding of one another.  See the handout </w:t>
      </w:r>
      <w:r w:rsidRPr="00BB4EE6">
        <w:rPr>
          <w:rFonts w:ascii="Lucida Bright" w:eastAsia="Lucida Bright" w:hAnsi="Lucida Bright" w:cs="Lucida Bright"/>
          <w:i/>
          <w:color w:val="000000"/>
          <w:szCs w:val="21"/>
        </w:rPr>
        <w:t>Building Strong Relationships across Difference</w:t>
      </w:r>
      <w:r w:rsidRPr="00BB4EE6">
        <w:rPr>
          <w:rFonts w:ascii="Lucida Bright" w:eastAsia="Lucida Bright" w:hAnsi="Lucida Bright" w:cs="Lucida Bright"/>
          <w:color w:val="000000"/>
          <w:szCs w:val="21"/>
        </w:rPr>
        <w:t xml:space="preserve"> for more tips on cross-cultural communication.</w:t>
      </w:r>
    </w:p>
    <w:p w:rsidR="00E86BEA" w:rsidRDefault="00E86BEA">
      <w:pPr>
        <w:tabs>
          <w:tab w:val="left" w:pos="6420"/>
        </w:tabs>
      </w:pPr>
      <w:bookmarkStart w:id="0" w:name="_GoBack"/>
      <w:bookmarkEnd w:id="0"/>
    </w:p>
    <w:sectPr w:rsidR="00E86BE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64" w:right="1080" w:bottom="864" w:left="1080" w:header="144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D39" w:rsidRDefault="004E36B0">
      <w:r>
        <w:separator/>
      </w:r>
    </w:p>
  </w:endnote>
  <w:endnote w:type="continuationSeparator" w:id="0">
    <w:p w:rsidR="00125D39" w:rsidRDefault="004E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rriweather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EA" w:rsidRPr="004E36B0" w:rsidRDefault="004E36B0" w:rsidP="004E36B0">
    <w:pPr>
      <w:pBdr>
        <w:top w:val="nil"/>
        <w:left w:val="nil"/>
        <w:bottom w:val="nil"/>
        <w:right w:val="nil"/>
        <w:between w:val="nil"/>
      </w:pBdr>
      <w:rPr>
        <w:color w:val="000000"/>
        <w:sz w:val="14"/>
        <w:szCs w:val="20"/>
      </w:rPr>
    </w:pPr>
    <w:r w:rsidRPr="00624B9C">
      <w:rPr>
        <w:color w:val="000000"/>
        <w:sz w:val="14"/>
        <w:szCs w:val="20"/>
      </w:rPr>
      <w:t>An EEO/AA employer, University of Wisconsin-Extension provides equal opportunities in employment and programming, including Title VI, Title IX, and the Americans with Disabilities Act (ADA) requirements. Adapted with permission from the Un</w:t>
    </w:r>
    <w:r>
      <w:rPr>
        <w:color w:val="000000"/>
        <w:sz w:val="14"/>
        <w:szCs w:val="20"/>
      </w:rPr>
      <w:t>iversity of Minnesota Extension, 2018.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EA" w:rsidRDefault="00E86B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Lucida Bright" w:eastAsia="Lucida Bright" w:hAnsi="Lucida Bright" w:cs="Lucida Bright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D39" w:rsidRDefault="004E36B0">
      <w:r>
        <w:separator/>
      </w:r>
    </w:p>
  </w:footnote>
  <w:footnote w:type="continuationSeparator" w:id="0">
    <w:p w:rsidR="00125D39" w:rsidRDefault="004E36B0">
      <w:r>
        <w:continuationSeparator/>
      </w:r>
    </w:p>
  </w:footnote>
  <w:footnote w:id="1">
    <w:p w:rsidR="00E86BEA" w:rsidRDefault="004E36B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Items in and out of awareness adapted from AFS Intercultural Programs, Inc. (1984) </w:t>
      </w:r>
      <w:r>
        <w:rPr>
          <w:color w:val="000000"/>
          <w:sz w:val="18"/>
          <w:szCs w:val="18"/>
          <w:u w:val="single"/>
        </w:rPr>
        <w:t>American Field Service Orientation Handbook</w:t>
      </w:r>
      <w:r>
        <w:rPr>
          <w:color w:val="000000"/>
          <w:sz w:val="18"/>
          <w:szCs w:val="18"/>
        </w:rPr>
        <w:t>, 4, p. 14.</w:t>
      </w:r>
    </w:p>
  </w:footnote>
  <w:footnote w:id="2">
    <w:p w:rsidR="00E86BEA" w:rsidRDefault="004E36B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Mestenhauser</w:t>
      </w:r>
      <w:proofErr w:type="spellEnd"/>
      <w:r>
        <w:rPr>
          <w:color w:val="000000"/>
          <w:sz w:val="18"/>
          <w:szCs w:val="18"/>
        </w:rPr>
        <w:t xml:space="preserve">, J. (Spring 1998). International education on the verge:  A search for a new paradigm.  </w:t>
      </w:r>
      <w:r>
        <w:rPr>
          <w:color w:val="000000"/>
          <w:sz w:val="18"/>
          <w:szCs w:val="18"/>
          <w:u w:val="single"/>
        </w:rPr>
        <w:t>International Education</w:t>
      </w:r>
      <w:r>
        <w:rPr>
          <w:color w:val="000000"/>
          <w:sz w:val="18"/>
          <w:szCs w:val="18"/>
        </w:rPr>
        <w:t>, 7(2-3), pp. 68-76.</w:t>
      </w:r>
    </w:p>
  </w:footnote>
  <w:footnote w:id="3">
    <w:p w:rsidR="00E86BEA" w:rsidRDefault="004E36B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Hofstede, G. (1991). </w:t>
      </w:r>
      <w:r>
        <w:rPr>
          <w:color w:val="000000"/>
          <w:sz w:val="18"/>
          <w:szCs w:val="18"/>
          <w:u w:val="single"/>
        </w:rPr>
        <w:t>Cultures and Organizations: Software of the Mind</w:t>
      </w:r>
      <w:r>
        <w:rPr>
          <w:color w:val="000000"/>
          <w:sz w:val="18"/>
          <w:szCs w:val="18"/>
        </w:rPr>
        <w:t>. New York, NY, McGraw-Hill.</w:t>
      </w:r>
    </w:p>
  </w:footnote>
  <w:footnote w:id="4">
    <w:p w:rsidR="00E86BEA" w:rsidRDefault="004E36B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Bennett, M. (1998). Better Together than A-P-A-R-T at the Summer Institute for Intercultural Education. [Video].</w:t>
      </w:r>
    </w:p>
    <w:p w:rsidR="00E86BEA" w:rsidRDefault="00E86BE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86BEA" w:rsidRDefault="00E86BE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86BEA" w:rsidRDefault="004E36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Developed by Heidi Haugen, Extension Educator</w:t>
      </w:r>
    </w:p>
    <w:p w:rsidR="00E86BEA" w:rsidRDefault="00E86BE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EA" w:rsidRDefault="00E86B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Lucida Bright" w:eastAsia="Lucida Bright" w:hAnsi="Lucida Bright" w:cs="Lucida Bright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EA" w:rsidRDefault="004E36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Lucida Bright" w:eastAsia="Lucida Bright" w:hAnsi="Lucida Bright" w:cs="Lucida Bright"/>
        <w:color w:val="000000"/>
      </w:rPr>
    </w:pPr>
    <w:r w:rsidRPr="00781C3B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2137F7C" wp14:editId="210EA7B1">
          <wp:simplePos x="0" y="0"/>
          <wp:positionH relativeFrom="column">
            <wp:posOffset>0</wp:posOffset>
          </wp:positionH>
          <wp:positionV relativeFrom="paragraph">
            <wp:posOffset>-800100</wp:posOffset>
          </wp:positionV>
          <wp:extent cx="6515758" cy="899795"/>
          <wp:effectExtent l="0" t="0" r="0" b="0"/>
          <wp:wrapNone/>
          <wp:docPr id="7" name="Picture 7" descr="C:\Users\laura.gundlach\Desktop\Head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laura.gundlach\Desktop\Head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758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E1E21"/>
    <w:multiLevelType w:val="multilevel"/>
    <w:tmpl w:val="442821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6BEA"/>
    <w:rsid w:val="00125D39"/>
    <w:rsid w:val="004E36B0"/>
    <w:rsid w:val="00BB4EE6"/>
    <w:rsid w:val="00E8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565DC"/>
  <w15:docId w15:val="{A28F8FCB-C30F-4C6D-B591-21ED144C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rriweather Sans" w:eastAsia="Merriweather Sans" w:hAnsi="Merriweather Sans" w:cs="Merriweather San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libri" w:eastAsia="Calibri" w:hAnsi="Calibri" w:cs="Calibri"/>
      <w:b/>
      <w:color w:val="56001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libri" w:eastAsia="Calibri" w:hAnsi="Calibri" w:cs="Calibri"/>
      <w:b/>
      <w:color w:val="7A0019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alibri" w:eastAsia="Calibri" w:hAnsi="Calibri" w:cs="Calibri"/>
      <w:b/>
      <w:color w:val="7A0019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E3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6B0"/>
  </w:style>
  <w:style w:type="paragraph" w:styleId="Footer">
    <w:name w:val="footer"/>
    <w:basedOn w:val="Normal"/>
    <w:link w:val="FooterChar"/>
    <w:uiPriority w:val="99"/>
    <w:unhideWhenUsed/>
    <w:rsid w:val="004E3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Gundlach, Laura</dc:creator>
  <cp:lastModifiedBy>Gundlach, Laura</cp:lastModifiedBy>
  <cp:revision>3</cp:revision>
  <dcterms:created xsi:type="dcterms:W3CDTF">2018-08-28T14:12:00Z</dcterms:created>
  <dcterms:modified xsi:type="dcterms:W3CDTF">2018-09-07T14:13:00Z</dcterms:modified>
</cp:coreProperties>
</file>