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283" w:rsidRPr="001C014A" w:rsidRDefault="00676B56" w:rsidP="00A205FE">
      <w:pPr>
        <w:keepNext/>
        <w:keepLines/>
        <w:pBdr>
          <w:top w:val="nil"/>
          <w:left w:val="nil"/>
          <w:bottom w:val="nil"/>
          <w:right w:val="nil"/>
          <w:between w:val="nil"/>
        </w:pBdr>
        <w:spacing w:after="240"/>
        <w:rPr>
          <w:rFonts w:ascii="Arial" w:eastAsia="Arial" w:hAnsi="Arial" w:cs="Arial"/>
          <w:color w:val="3476B1" w:themeColor="accent2" w:themeShade="BF"/>
          <w:sz w:val="44"/>
          <w:szCs w:val="44"/>
        </w:rPr>
      </w:pPr>
      <w:bookmarkStart w:id="0" w:name="_gjdgxs" w:colFirst="0" w:colLast="0"/>
      <w:bookmarkEnd w:id="0"/>
      <w:r w:rsidRPr="001C014A">
        <w:rPr>
          <w:rFonts w:ascii="Arial" w:eastAsia="Arial" w:hAnsi="Arial" w:cs="Arial"/>
          <w:color w:val="3476B1" w:themeColor="accent2" w:themeShade="BF"/>
          <w:sz w:val="44"/>
          <w:szCs w:val="44"/>
        </w:rPr>
        <w:t>S</w:t>
      </w:r>
      <w:bookmarkStart w:id="1" w:name="_GoBack"/>
      <w:bookmarkEnd w:id="1"/>
      <w:r w:rsidRPr="001C014A">
        <w:rPr>
          <w:rFonts w:ascii="Arial" w:eastAsia="Arial" w:hAnsi="Arial" w:cs="Arial"/>
          <w:color w:val="3476B1" w:themeColor="accent2" w:themeShade="BF"/>
          <w:sz w:val="44"/>
          <w:szCs w:val="44"/>
        </w:rPr>
        <w:t xml:space="preserve">hared Definitions </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 xml:space="preserve">Assumption: </w:t>
      </w:r>
    </w:p>
    <w:p w:rsidR="0062135C" w:rsidRDefault="00676B56" w:rsidP="0062135C">
      <w:pPr>
        <w:spacing w:after="120"/>
        <w:rPr>
          <w:rFonts w:ascii="Calibri" w:eastAsia="Calibri" w:hAnsi="Calibri" w:cs="Calibri"/>
          <w:b/>
          <w:color w:val="3476B1" w:themeColor="accent2" w:themeShade="BF"/>
          <w:sz w:val="22"/>
          <w:szCs w:val="22"/>
        </w:rPr>
      </w:pPr>
      <w:r w:rsidRPr="0062135C">
        <w:rPr>
          <w:rFonts w:ascii="Lucida Bright" w:eastAsia="Lucida Bright" w:hAnsi="Lucida Bright" w:cs="Lucida Bright"/>
          <w:color w:val="000000"/>
          <w:sz w:val="22"/>
          <w:szCs w:val="22"/>
        </w:rPr>
        <w:t xml:space="preserve">Something that </w:t>
      </w:r>
      <w:proofErr w:type="gramStart"/>
      <w:r w:rsidRPr="0062135C">
        <w:rPr>
          <w:rFonts w:ascii="Lucida Bright" w:eastAsia="Lucida Bright" w:hAnsi="Lucida Bright" w:cs="Lucida Bright"/>
          <w:color w:val="000000"/>
          <w:sz w:val="22"/>
          <w:szCs w:val="22"/>
        </w:rPr>
        <w:t>is taken for</w:t>
      </w:r>
      <w:proofErr w:type="gramEnd"/>
      <w:r w:rsidRPr="0062135C">
        <w:rPr>
          <w:rFonts w:ascii="Lucida Bright" w:eastAsia="Lucida Bright" w:hAnsi="Lucida Bright" w:cs="Lucida Bright"/>
          <w:color w:val="000000"/>
          <w:sz w:val="22"/>
          <w:szCs w:val="22"/>
        </w:rPr>
        <w:t xml:space="preserve"> granted or accepted as true without proof.</w:t>
      </w:r>
    </w:p>
    <w:p w:rsidR="00FA5283" w:rsidRPr="0062135C" w:rsidRDefault="00676B56" w:rsidP="0062135C">
      <w:pPr>
        <w:rPr>
          <w:rFonts w:ascii="Lucida Bright" w:eastAsia="Lucida Bright" w:hAnsi="Lucida Bright" w:cs="Lucida Bright"/>
          <w:color w:val="000000"/>
          <w:sz w:val="22"/>
          <w:szCs w:val="22"/>
        </w:rPr>
      </w:pPr>
      <w:r w:rsidRPr="0062135C">
        <w:rPr>
          <w:rFonts w:ascii="Calibri" w:eastAsia="Calibri" w:hAnsi="Calibri" w:cs="Calibri"/>
          <w:b/>
          <w:color w:val="3476B1" w:themeColor="accent2" w:themeShade="BF"/>
          <w:sz w:val="22"/>
          <w:szCs w:val="22"/>
        </w:rPr>
        <w:t>Cultural Competency:</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The ability to work and respond in a way that acknowledges and respects an individual's cultural customs, attitudes, values, and behaviors.</w:t>
      </w:r>
    </w:p>
    <w:p w:rsidR="00FA5283" w:rsidRPr="0062135C" w:rsidRDefault="00676B56">
      <w:pPr>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Cultural Identity:</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How one sees oneself in relationship to others; influenced </w:t>
      </w:r>
      <w:proofErr w:type="gramStart"/>
      <w:r w:rsidRPr="0062135C">
        <w:rPr>
          <w:rFonts w:ascii="Lucida Bright" w:eastAsia="Lucida Bright" w:hAnsi="Lucida Bright" w:cs="Lucida Bright"/>
          <w:color w:val="000000"/>
          <w:sz w:val="22"/>
          <w:szCs w:val="22"/>
        </w:rPr>
        <w:t>by how a person grows up and the social context he or she lives in</w:t>
      </w:r>
      <w:proofErr w:type="gramEnd"/>
      <w:r w:rsidRPr="0062135C">
        <w:rPr>
          <w:rFonts w:ascii="Lucida Bright" w:eastAsia="Lucida Bright" w:hAnsi="Lucida Bright" w:cs="Lucida Bright"/>
          <w:color w:val="000000"/>
          <w:sz w:val="22"/>
          <w:szCs w:val="22"/>
        </w:rPr>
        <w:t>.</w:t>
      </w:r>
    </w:p>
    <w:p w:rsidR="00FA5283" w:rsidRPr="0062135C" w:rsidRDefault="00676B56">
      <w:pPr>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Cultural Institutions:</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Societal institutions that transmit and maintain rules and norms. They include: 1) government, politics, and law; 2) financial and corporate institutions; 3) health and medicine; 4) media, entertainment, and the arts; 5) peers and community; 6) military; 7) social services and prison; 8) education 9) religion; 10) family. </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Cultural Relativism:</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The perspective that the behavior in one culture </w:t>
      </w:r>
      <w:proofErr w:type="gramStart"/>
      <w:r w:rsidRPr="0062135C">
        <w:rPr>
          <w:rFonts w:ascii="Lucida Bright" w:eastAsia="Lucida Bright" w:hAnsi="Lucida Bright" w:cs="Lucida Bright"/>
          <w:color w:val="000000"/>
          <w:sz w:val="22"/>
          <w:szCs w:val="22"/>
        </w:rPr>
        <w:t>should not be judged</w:t>
      </w:r>
      <w:proofErr w:type="gramEnd"/>
      <w:r w:rsidRPr="0062135C">
        <w:rPr>
          <w:rFonts w:ascii="Lucida Bright" w:eastAsia="Lucida Bright" w:hAnsi="Lucida Bright" w:cs="Lucida Bright"/>
          <w:color w:val="000000"/>
          <w:sz w:val="22"/>
          <w:szCs w:val="22"/>
        </w:rPr>
        <w:t xml:space="preserve"> by the standards of another.</w:t>
      </w:r>
      <w:r w:rsidRPr="0062135C">
        <w:rPr>
          <w:noProof/>
          <w:sz w:val="22"/>
          <w:szCs w:val="22"/>
        </w:rPr>
        <w:drawing>
          <wp:anchor distT="91440" distB="118745" distL="114300" distR="228600" simplePos="0" relativeHeight="251656192" behindDoc="0" locked="0" layoutInCell="1" hidden="0" allowOverlap="1">
            <wp:simplePos x="0" y="0"/>
            <wp:positionH relativeFrom="margin">
              <wp:posOffset>3663315</wp:posOffset>
            </wp:positionH>
            <wp:positionV relativeFrom="paragraph">
              <wp:posOffset>7621</wp:posOffset>
            </wp:positionV>
            <wp:extent cx="2886075" cy="1850390"/>
            <wp:effectExtent l="0" t="0" r="0" b="0"/>
            <wp:wrapSquare wrapText="bothSides" distT="91440" distB="118745" distL="114300" distR="2286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886075" cy="1850390"/>
                    </a:xfrm>
                    <a:prstGeom prst="rect">
                      <a:avLst/>
                    </a:prstGeom>
                    <a:ln/>
                  </pic:spPr>
                </pic:pic>
              </a:graphicData>
            </a:graphic>
          </wp:anchor>
        </w:drawing>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Culture:</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More than traits, values, customs, artifacts, and institutions. It is also a way of being, thinking, organizing knowledge, reasoning, problem solving, valuing the past, present, and future, and relating to others.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 xml:space="preserve">Discrimination: </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The unfair treatment of a person or group </w:t>
      </w:r>
      <w:proofErr w:type="gramStart"/>
      <w:r w:rsidRPr="0062135C">
        <w:rPr>
          <w:rFonts w:ascii="Lucida Bright" w:eastAsia="Lucida Bright" w:hAnsi="Lucida Bright" w:cs="Lucida Bright"/>
          <w:color w:val="000000"/>
          <w:sz w:val="22"/>
          <w:szCs w:val="22"/>
        </w:rPr>
        <w:t>on the basis of</w:t>
      </w:r>
      <w:proofErr w:type="gramEnd"/>
      <w:r w:rsidRPr="0062135C">
        <w:rPr>
          <w:rFonts w:ascii="Lucida Bright" w:eastAsia="Lucida Bright" w:hAnsi="Lucida Bright" w:cs="Lucida Bright"/>
          <w:color w:val="000000"/>
          <w:sz w:val="22"/>
          <w:szCs w:val="22"/>
        </w:rPr>
        <w:t xml:space="preserve"> prejudice (an action). Under civil rights law, unlawful discrimination </w:t>
      </w:r>
      <w:proofErr w:type="gramStart"/>
      <w:r w:rsidRPr="0062135C">
        <w:rPr>
          <w:rFonts w:ascii="Lucida Bright" w:eastAsia="Lucida Bright" w:hAnsi="Lucida Bright" w:cs="Lucida Bright"/>
          <w:color w:val="000000"/>
          <w:sz w:val="22"/>
          <w:szCs w:val="22"/>
        </w:rPr>
        <w:t>includes:</w:t>
      </w:r>
      <w:proofErr w:type="gramEnd"/>
      <w:r w:rsidRPr="0062135C">
        <w:rPr>
          <w:rFonts w:ascii="Lucida Bright" w:eastAsia="Lucida Bright" w:hAnsi="Lucida Bright" w:cs="Lucida Bright"/>
          <w:color w:val="000000"/>
          <w:sz w:val="22"/>
          <w:szCs w:val="22"/>
        </w:rPr>
        <w:t xml:space="preserve"> Race, Color, Sex, Creed, Disability, Religion, Ancestry, Age, Sexual Orientation, Pregnancy, Marital or Parental Status, and National Origin. </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Diversity:</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Differences between people that may be obvious (e.g. skin color, eye color, hair, clothes, appearance) as well as differences between people that may not be obvious (e.g. personality, heritage, education, values, worldviews).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Dominant Culture:</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A group that determines the social and cultural norms and standards because it is more widespread, influential and has more social power and capital</w:t>
      </w:r>
      <w:r w:rsidRPr="0062135C">
        <w:rPr>
          <w:rFonts w:ascii="Lucida Bright" w:eastAsia="Lucida Bright" w:hAnsi="Lucida Bright" w:cs="Lucida Bright"/>
          <w:color w:val="000000"/>
          <w:sz w:val="22"/>
          <w:szCs w:val="22"/>
        </w:rPr>
        <w:br/>
        <w:t xml:space="preserve"> than other cultural groups in a place where multiple cultures are present. They often impose a set of standards and rules, often unwritten, for correct behavior or normalcy.</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Empathy:</w:t>
      </w:r>
    </w:p>
    <w:p w:rsidR="001C014A"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Being able to identify with and understand another's si</w:t>
      </w:r>
      <w:r w:rsidR="0062135C">
        <w:rPr>
          <w:rFonts w:ascii="Lucida Bright" w:eastAsia="Lucida Bright" w:hAnsi="Lucida Bright" w:cs="Lucida Bright"/>
          <w:color w:val="000000"/>
          <w:sz w:val="22"/>
          <w:szCs w:val="22"/>
        </w:rPr>
        <w:t>tuation, feelings, and motives.</w:t>
      </w:r>
    </w:p>
    <w:p w:rsidR="00FA5283" w:rsidRPr="0062135C" w:rsidRDefault="00676B56" w:rsidP="001C014A">
      <w:pPr>
        <w:rPr>
          <w:rFonts w:ascii="Lucida Bright" w:eastAsia="Lucida Bright" w:hAnsi="Lucida Bright" w:cs="Lucida Bright"/>
          <w:color w:val="000000"/>
          <w:sz w:val="22"/>
          <w:szCs w:val="22"/>
        </w:rPr>
      </w:pPr>
      <w:r w:rsidRPr="0062135C">
        <w:rPr>
          <w:rFonts w:ascii="Calibri" w:eastAsia="Calibri" w:hAnsi="Calibri" w:cs="Calibri"/>
          <w:b/>
          <w:color w:val="3476B1" w:themeColor="accent2" w:themeShade="BF"/>
          <w:sz w:val="22"/>
          <w:szCs w:val="22"/>
        </w:rPr>
        <w:t>Ethnocentrism:</w:t>
      </w:r>
    </w:p>
    <w:p w:rsidR="001C014A"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The tendency to use one's own cultural standards and values to judge the behavior and beliefs of people from a different culture.</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lastRenderedPageBreak/>
        <w:t>Generalization:</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Using labels to describe people or placing people into categories.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Global Citizenship:</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A mindset of being responsible for people, places, and things around the world and believing that your actions </w:t>
      </w:r>
      <w:proofErr w:type="gramStart"/>
      <w:r w:rsidRPr="0062135C">
        <w:rPr>
          <w:rFonts w:ascii="Lucida Bright" w:eastAsia="Lucida Bright" w:hAnsi="Lucida Bright" w:cs="Lucida Bright"/>
          <w:color w:val="000000"/>
          <w:sz w:val="22"/>
          <w:szCs w:val="22"/>
        </w:rPr>
        <w:t>impact</w:t>
      </w:r>
      <w:proofErr w:type="gramEnd"/>
      <w:r w:rsidRPr="0062135C">
        <w:rPr>
          <w:rFonts w:ascii="Lucida Bright" w:eastAsia="Lucida Bright" w:hAnsi="Lucida Bright" w:cs="Lucida Bright"/>
          <w:color w:val="000000"/>
          <w:sz w:val="22"/>
          <w:szCs w:val="22"/>
        </w:rPr>
        <w:t xml:space="preserve"> others.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Identity:</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A combination of qualities (e.g. personal, cultural, </w:t>
      </w:r>
      <w:proofErr w:type="gramStart"/>
      <w:r w:rsidRPr="0062135C">
        <w:rPr>
          <w:rFonts w:ascii="Lucida Bright" w:eastAsia="Lucida Bright" w:hAnsi="Lucida Bright" w:cs="Lucida Bright"/>
          <w:color w:val="000000"/>
          <w:sz w:val="22"/>
          <w:szCs w:val="22"/>
        </w:rPr>
        <w:t>universal</w:t>
      </w:r>
      <w:proofErr w:type="gramEnd"/>
      <w:r w:rsidRPr="0062135C">
        <w:rPr>
          <w:rFonts w:ascii="Lucida Bright" w:eastAsia="Lucida Bright" w:hAnsi="Lucida Bright" w:cs="Lucida Bright"/>
          <w:color w:val="000000"/>
          <w:sz w:val="22"/>
          <w:szCs w:val="22"/>
        </w:rPr>
        <w:t>) that continuously evolves, making individuals unique.</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 xml:space="preserve">Interpretation: </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An explanation of the meaning of someone's actions (your explanation of the facts).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 xml:space="preserve">Intersectionality: </w:t>
      </w:r>
    </w:p>
    <w:p w:rsidR="00FA5283" w:rsidRPr="0062135C" w:rsidRDefault="00676B56" w:rsidP="0062135C">
      <w:pPr>
        <w:pBdr>
          <w:top w:val="nil"/>
          <w:left w:val="nil"/>
          <w:bottom w:val="nil"/>
          <w:right w:val="nil"/>
          <w:between w:val="nil"/>
        </w:pBdr>
        <w:spacing w:after="120" w:line="276" w:lineRule="auto"/>
        <w:rPr>
          <w:rFonts w:ascii="Lucida Bright" w:eastAsia="Lucida Bright" w:hAnsi="Lucida Bright" w:cs="Lucida Bright"/>
          <w:sz w:val="22"/>
          <w:szCs w:val="22"/>
        </w:rPr>
      </w:pPr>
      <w:r w:rsidRPr="0062135C">
        <w:rPr>
          <w:rFonts w:ascii="Lucida Bright" w:eastAsia="Lucida Bright" w:hAnsi="Lucida Bright" w:cs="Lucida Bright"/>
          <w:sz w:val="22"/>
          <w:szCs w:val="22"/>
        </w:rPr>
        <w:t>A framework that shows how different parts of a person’s identity (such as race, class, sexual orientation, age, disability status and gender) are interwoven together in how that person experiences everyday life in society.</w:t>
      </w:r>
      <w:r w:rsidRPr="0062135C">
        <w:rPr>
          <w:rFonts w:ascii="Lucida Bright" w:eastAsia="Lucida Bright" w:hAnsi="Lucida Bright" w:cs="Lucida Bright"/>
          <w:sz w:val="22"/>
          <w:szCs w:val="22"/>
          <w:vertAlign w:val="superscript"/>
        </w:rPr>
        <w:footnoteReference w:id="1"/>
      </w:r>
      <w:r w:rsidRPr="0062135C">
        <w:rPr>
          <w:rFonts w:ascii="Lucida Bright" w:eastAsia="Lucida Bright" w:hAnsi="Lucida Bright" w:cs="Lucida Bright"/>
          <w:sz w:val="22"/>
          <w:szCs w:val="22"/>
        </w:rPr>
        <w:t xml:space="preserve">   </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Marginalization:</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The process of assigning something or someone (especially a group of people) to a lower status or position; the process of looking down upon or thinking less </w:t>
      </w:r>
      <w:proofErr w:type="gramStart"/>
      <w:r w:rsidRPr="0062135C">
        <w:rPr>
          <w:rFonts w:ascii="Lucida Bright" w:eastAsia="Lucida Bright" w:hAnsi="Lucida Bright" w:cs="Lucida Bright"/>
          <w:color w:val="000000"/>
          <w:sz w:val="22"/>
          <w:szCs w:val="22"/>
        </w:rPr>
        <w:t>of</w:t>
      </w:r>
      <w:proofErr w:type="gramEnd"/>
      <w:r w:rsidRPr="0062135C">
        <w:rPr>
          <w:rFonts w:ascii="Lucida Bright" w:eastAsia="Lucida Bright" w:hAnsi="Lucida Bright" w:cs="Lucida Bright"/>
          <w:color w:val="000000"/>
          <w:sz w:val="22"/>
          <w:szCs w:val="22"/>
        </w:rPr>
        <w:t>.</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Perception:</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 xml:space="preserve">An understanding of </w:t>
      </w:r>
      <w:proofErr w:type="gramStart"/>
      <w:r w:rsidRPr="0062135C">
        <w:rPr>
          <w:rFonts w:ascii="Lucida Bright" w:eastAsia="Lucida Bright" w:hAnsi="Lucida Bright" w:cs="Lucida Bright"/>
          <w:color w:val="000000"/>
          <w:sz w:val="22"/>
          <w:szCs w:val="22"/>
        </w:rPr>
        <w:t>something or how one sees the world</w:t>
      </w:r>
      <w:proofErr w:type="gramEnd"/>
      <w:r w:rsidRPr="0062135C">
        <w:rPr>
          <w:rFonts w:ascii="Lucida Bright" w:eastAsia="Lucida Bright" w:hAnsi="Lucida Bright" w:cs="Lucida Bright"/>
          <w:color w:val="000000"/>
          <w:sz w:val="22"/>
          <w:szCs w:val="22"/>
        </w:rPr>
        <w:t>.</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Power:</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The ability to influence or control others.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Privilege:</w:t>
      </w:r>
    </w:p>
    <w:p w:rsidR="00FA5283" w:rsidRPr="0062135C" w:rsidRDefault="00676B56" w:rsidP="0062135C">
      <w:pPr>
        <w:spacing w:after="120"/>
        <w:rPr>
          <w:rFonts w:ascii="Lucida Bright" w:eastAsia="Lucida Bright" w:hAnsi="Lucida Bright" w:cs="Lucida Bright"/>
          <w:color w:val="000000"/>
          <w:sz w:val="22"/>
          <w:szCs w:val="22"/>
        </w:rPr>
      </w:pPr>
      <w:bookmarkStart w:id="2" w:name="_30j0zll" w:colFirst="0" w:colLast="0"/>
      <w:bookmarkEnd w:id="2"/>
      <w:r w:rsidRPr="0062135C">
        <w:rPr>
          <w:rFonts w:ascii="Lucida Bright" w:eastAsia="Lucida Bright" w:hAnsi="Lucida Bright" w:cs="Lucida Bright"/>
          <w:color w:val="000000"/>
          <w:sz w:val="22"/>
          <w:szCs w:val="22"/>
        </w:rPr>
        <w:t xml:space="preserve">A special right, advantage or immunity given to a particular person or group of people that may or </w:t>
      </w:r>
      <w:proofErr w:type="gramStart"/>
      <w:r w:rsidRPr="0062135C">
        <w:rPr>
          <w:rFonts w:ascii="Lucida Bright" w:eastAsia="Lucida Bright" w:hAnsi="Lucida Bright" w:cs="Lucida Bright"/>
          <w:color w:val="000000"/>
          <w:sz w:val="22"/>
          <w:szCs w:val="22"/>
        </w:rPr>
        <w:t>may not be earned</w:t>
      </w:r>
      <w:proofErr w:type="gramEnd"/>
      <w:r w:rsidRPr="0062135C">
        <w:rPr>
          <w:rFonts w:ascii="Lucida Bright" w:eastAsia="Lucida Bright" w:hAnsi="Lucida Bright" w:cs="Lucida Bright"/>
          <w:color w:val="000000"/>
          <w:sz w:val="22"/>
          <w:szCs w:val="22"/>
        </w:rPr>
        <w:t xml:space="preserve">.  </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Shifting Frames of Reference:</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Being able to change how you see and understand peo</w:t>
      </w:r>
      <w:r w:rsidR="0062135C">
        <w:rPr>
          <w:rFonts w:ascii="Lucida Bright" w:eastAsia="Lucida Bright" w:hAnsi="Lucida Bright" w:cs="Lucida Bright"/>
          <w:color w:val="000000"/>
          <w:sz w:val="22"/>
          <w:szCs w:val="22"/>
        </w:rPr>
        <w:t>ple, places, things and events.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Stereotype:</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An overly simplified judgment or bias regarding a person or group.</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Suspension of Judgment:</w:t>
      </w:r>
    </w:p>
    <w:p w:rsidR="00FA5283"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Holding back on forming an opinion.</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Tolerance for Ambiguity:</w:t>
      </w:r>
    </w:p>
    <w:p w:rsidR="001C014A" w:rsidRPr="0062135C" w:rsidRDefault="00676B56" w:rsidP="0062135C">
      <w:pPr>
        <w:spacing w:after="120"/>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Being okay with uncertainty; not having to be in control; being comfortable in new situations.</w:t>
      </w:r>
    </w:p>
    <w:p w:rsidR="00FA5283" w:rsidRPr="0062135C" w:rsidRDefault="00676B56">
      <w:pPr>
        <w:pBdr>
          <w:top w:val="nil"/>
          <w:left w:val="nil"/>
          <w:bottom w:val="nil"/>
          <w:right w:val="nil"/>
          <w:between w:val="nil"/>
        </w:pBdr>
        <w:spacing w:line="276" w:lineRule="auto"/>
        <w:rPr>
          <w:rFonts w:ascii="Calibri" w:eastAsia="Calibri" w:hAnsi="Calibri" w:cs="Calibri"/>
          <w:b/>
          <w:color w:val="3476B1" w:themeColor="accent2" w:themeShade="BF"/>
          <w:sz w:val="22"/>
          <w:szCs w:val="22"/>
        </w:rPr>
      </w:pPr>
      <w:r w:rsidRPr="0062135C">
        <w:rPr>
          <w:rFonts w:ascii="Calibri" w:eastAsia="Calibri" w:hAnsi="Calibri" w:cs="Calibri"/>
          <w:b/>
          <w:color w:val="3476B1" w:themeColor="accent2" w:themeShade="BF"/>
          <w:sz w:val="22"/>
          <w:szCs w:val="22"/>
        </w:rPr>
        <w:t>Values:</w:t>
      </w:r>
    </w:p>
    <w:p w:rsidR="00FA5283" w:rsidRDefault="00676B56">
      <w:pPr>
        <w:rPr>
          <w:rFonts w:ascii="Lucida Bright" w:eastAsia="Lucida Bright" w:hAnsi="Lucida Bright" w:cs="Lucida Bright"/>
          <w:color w:val="000000"/>
          <w:sz w:val="22"/>
          <w:szCs w:val="22"/>
        </w:rPr>
      </w:pPr>
      <w:r w:rsidRPr="0062135C">
        <w:rPr>
          <w:rFonts w:ascii="Lucida Bright" w:eastAsia="Lucida Bright" w:hAnsi="Lucida Bright" w:cs="Lucida Bright"/>
          <w:color w:val="000000"/>
          <w:sz w:val="22"/>
          <w:szCs w:val="22"/>
        </w:rPr>
        <w:t>Things, ideas, or ways of being that are important to people</w:t>
      </w:r>
    </w:p>
    <w:p w:rsidR="0062135C" w:rsidRPr="0062135C" w:rsidRDefault="0062135C">
      <w:pPr>
        <w:rPr>
          <w:rFonts w:ascii="Lucida Bright" w:eastAsia="Lucida Bright" w:hAnsi="Lucida Bright" w:cs="Lucida Bright"/>
          <w:color w:val="000000"/>
          <w:sz w:val="22"/>
          <w:szCs w:val="22"/>
        </w:rPr>
      </w:pPr>
    </w:p>
    <w:p w:rsidR="00FA5283" w:rsidRPr="0062135C" w:rsidRDefault="00676B56">
      <w:pPr>
        <w:pBdr>
          <w:top w:val="nil"/>
          <w:left w:val="nil"/>
          <w:bottom w:val="nil"/>
          <w:right w:val="nil"/>
          <w:between w:val="nil"/>
        </w:pBdr>
        <w:ind w:left="187" w:right="187"/>
        <w:jc w:val="center"/>
        <w:rPr>
          <w:rFonts w:ascii="Calibri" w:eastAsia="Calibri" w:hAnsi="Calibri" w:cs="Calibri"/>
          <w:color w:val="000000"/>
          <w:sz w:val="18"/>
          <w:szCs w:val="22"/>
        </w:rPr>
      </w:pPr>
      <w:r w:rsidRPr="0062135C">
        <w:rPr>
          <w:rFonts w:ascii="Lucida Bright" w:eastAsia="Lucida Bright" w:hAnsi="Lucida Bright" w:cs="Lucida Bright"/>
          <w:color w:val="000000"/>
          <w:sz w:val="18"/>
          <w:szCs w:val="22"/>
        </w:rPr>
        <w:t xml:space="preserve">Definitions taken from </w:t>
      </w:r>
      <w:proofErr w:type="spellStart"/>
      <w:r w:rsidRPr="0062135C">
        <w:rPr>
          <w:rFonts w:ascii="Lucida Bright" w:eastAsia="Lucida Bright" w:hAnsi="Lucida Bright" w:cs="Lucida Bright"/>
          <w:i/>
          <w:color w:val="000000"/>
          <w:sz w:val="18"/>
          <w:szCs w:val="22"/>
        </w:rPr>
        <w:t>WeConnect</w:t>
      </w:r>
      <w:proofErr w:type="spellEnd"/>
      <w:r w:rsidRPr="0062135C">
        <w:rPr>
          <w:rFonts w:ascii="Lucida Bright" w:eastAsia="Lucida Bright" w:hAnsi="Lucida Bright" w:cs="Lucida Bright"/>
          <w:color w:val="000000"/>
          <w:sz w:val="18"/>
          <w:szCs w:val="22"/>
        </w:rPr>
        <w:t xml:space="preserve"> (2009), University of Minnesota and </w:t>
      </w:r>
      <w:r w:rsidRPr="0062135C">
        <w:rPr>
          <w:rFonts w:ascii="Lucida Bright" w:eastAsia="Lucida Bright" w:hAnsi="Lucida Bright" w:cs="Lucida Bright"/>
          <w:color w:val="000000"/>
          <w:sz w:val="18"/>
          <w:szCs w:val="22"/>
        </w:rPr>
        <w:br/>
      </w:r>
      <w:r w:rsidRPr="0062135C">
        <w:rPr>
          <w:rFonts w:ascii="Lucida Bright" w:eastAsia="Lucida Bright" w:hAnsi="Lucida Bright" w:cs="Lucida Bright"/>
          <w:i/>
          <w:color w:val="000000"/>
          <w:sz w:val="18"/>
          <w:szCs w:val="22"/>
        </w:rPr>
        <w:t>Ready to Go: Mentor Training Toolkit</w:t>
      </w:r>
      <w:r w:rsidRPr="0062135C">
        <w:rPr>
          <w:rFonts w:ascii="Lucida Bright" w:eastAsia="Lucida Bright" w:hAnsi="Lucida Bright" w:cs="Lucida Bright"/>
          <w:color w:val="000000"/>
          <w:sz w:val="18"/>
          <w:szCs w:val="22"/>
        </w:rPr>
        <w:t xml:space="preserve"> (2012), Michigan State University</w:t>
      </w:r>
      <w:r w:rsidRPr="0062135C">
        <w:rPr>
          <w:rFonts w:ascii="Calibri" w:eastAsia="Calibri" w:hAnsi="Calibri" w:cs="Calibri"/>
          <w:color w:val="000000"/>
          <w:sz w:val="18"/>
          <w:szCs w:val="22"/>
        </w:rPr>
        <w:t>.</w:t>
      </w:r>
      <w:r w:rsidRPr="0062135C">
        <w:rPr>
          <w:noProof/>
          <w:sz w:val="18"/>
          <w:szCs w:val="22"/>
        </w:rPr>
        <mc:AlternateContent>
          <mc:Choice Requires="wps">
            <w:drawing>
              <wp:anchor distT="36830" distB="36830" distL="36830" distR="36830" simplePos="0" relativeHeight="251659264" behindDoc="0" locked="0" layoutInCell="1" hidden="0" allowOverlap="1">
                <wp:simplePos x="0" y="0"/>
                <wp:positionH relativeFrom="margin">
                  <wp:posOffset>-242569</wp:posOffset>
                </wp:positionH>
                <wp:positionV relativeFrom="paragraph">
                  <wp:posOffset>7682230</wp:posOffset>
                </wp:positionV>
                <wp:extent cx="6775450" cy="947420"/>
                <wp:effectExtent l="0" t="0" r="0" b="0"/>
                <wp:wrapNone/>
                <wp:docPr id="1" name="Rectangle 1"/>
                <wp:cNvGraphicFramePr/>
                <a:graphic xmlns:a="http://schemas.openxmlformats.org/drawingml/2006/main">
                  <a:graphicData uri="http://schemas.microsoft.com/office/word/2010/wordprocessingShape">
                    <wps:wsp>
                      <wps:cNvSpPr/>
                      <wps:spPr>
                        <a:xfrm>
                          <a:off x="1967800" y="3315815"/>
                          <a:ext cx="6756400" cy="928370"/>
                        </a:xfrm>
                        <a:prstGeom prst="rect">
                          <a:avLst/>
                        </a:prstGeom>
                        <a:noFill/>
                        <a:ln>
                          <a:noFill/>
                        </a:ln>
                      </wps:spPr>
                      <wps:txbx>
                        <w:txbxContent>
                          <w:p w:rsidR="00FA5283" w:rsidRDefault="00676B56">
                            <w:pPr>
                              <w:ind w:left="187" w:right="187" w:firstLine="374"/>
                              <w:textDirection w:val="btLr"/>
                            </w:pPr>
                            <w:r>
                              <w:rPr>
                                <w:rFonts w:ascii="Calibri" w:eastAsia="Calibri" w:hAnsi="Calibri" w:cs="Calibri"/>
                                <w:color w:val="000000"/>
                                <w:sz w:val="16"/>
                              </w:rPr>
                              <w:t xml:space="preserve">© 2015 Regents of the University of Minnesota.  All rights reserved. University of Minnesota Extension is an equal opportunity educator and employer.  In accordance with the Americans with Disabilities Act, this material is available in alternative formats upon request. Direct requests to 612-624-2116.Printed on recycled and recyclable paper with at least 10 percent postconsumer waste material. </w:t>
                            </w:r>
                            <w:r>
                              <w:rPr>
                                <w:rFonts w:ascii="Calibri" w:eastAsia="Calibri" w:hAnsi="Calibri" w:cs="Calibri"/>
                                <w:color w:val="000000"/>
                                <w:sz w:val="16"/>
                              </w:rPr>
                              <w:br/>
                            </w:r>
                          </w:p>
                        </w:txbxContent>
                      </wps:txbx>
                      <wps:bodyPr spcFirstLastPara="1" wrap="square" lIns="36575" tIns="36575" rIns="36575" bIns="36575" anchor="t" anchorCtr="0"/>
                    </wps:wsp>
                  </a:graphicData>
                </a:graphic>
              </wp:anchor>
            </w:drawing>
          </mc:Choice>
          <mc:Fallback>
            <w:pict>
              <v:rect id="Rectangle 1" o:spid="_x0000_s1026" style="position:absolute;left:0;text-align:left;margin-left:-19.1pt;margin-top:604.9pt;width:533.5pt;height:74.6pt;z-index:251659264;visibility:visible;mso-wrap-style:square;mso-wrap-distance-left:2.9pt;mso-wrap-distance-top:2.9pt;mso-wrap-distance-right:2.9pt;mso-wrap-distance-bottom:2.9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" filled="f" stroked="f">
                <v:textbox inset="1.016mm,1.016mm,1.016mm,1.016mm">
                  <w:txbxContent>
                    <w:p w:rsidR="00FA5283" w:rsidRDefault="00676B56">
                      <w:pPr>
                        <w:ind w:left="187" w:right="187" w:firstLine="374"/>
                        <w:textDirection w:val="btLr"/>
                      </w:pPr>
                      <w:r>
                        <w:rPr>
                          <w:rFonts w:ascii="Calibri" w:eastAsia="Calibri" w:hAnsi="Calibri" w:cs="Calibri"/>
                          <w:color w:val="000000"/>
                          <w:sz w:val="16"/>
                        </w:rPr>
                        <w:t xml:space="preserve">© 2015 Regents of the University of Minnesota.  All rights reserved. University of Minnesota Extension is an equal opportunity educator and employer.  In accordance with the Americans with Disabilities Act, this material is available in alternative formats upon request. Direct requests to 612-624-2116.Printed on recycled and recyclable paper with at least 10 percent postconsumer waste material. </w:t>
                      </w:r>
                      <w:r>
                        <w:rPr>
                          <w:rFonts w:ascii="Calibri" w:eastAsia="Calibri" w:hAnsi="Calibri" w:cs="Calibri"/>
                          <w:color w:val="000000"/>
                          <w:sz w:val="16"/>
                        </w:rPr>
                        <w:br/>
                      </w:r>
                    </w:p>
                  </w:txbxContent>
                </v:textbox>
                <w10:wrap anchorx="margin"/>
              </v:rect>
            </w:pict>
          </mc:Fallback>
        </mc:AlternateContent>
      </w:r>
    </w:p>
    <w:sectPr w:rsidR="00FA5283" w:rsidRPr="0062135C" w:rsidSect="001C014A">
      <w:headerReference w:type="default" r:id="rId8"/>
      <w:headerReference w:type="first" r:id="rId9"/>
      <w:footerReference w:type="first" r:id="rId10"/>
      <w:pgSz w:w="12240" w:h="15840"/>
      <w:pgMar w:top="864" w:right="1080" w:bottom="864" w:left="1080" w:header="720" w:footer="14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B56" w:rsidRDefault="00676B56">
      <w:r>
        <w:separator/>
      </w:r>
    </w:p>
  </w:endnote>
  <w:endnote w:type="continuationSeparator" w:id="0">
    <w:p w:rsidR="00676B56" w:rsidRDefault="0067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83" w:rsidRDefault="00FA5283">
    <w:pPr>
      <w:pBdr>
        <w:top w:val="nil"/>
        <w:left w:val="nil"/>
        <w:bottom w:val="nil"/>
        <w:right w:val="nil"/>
        <w:between w:val="nil"/>
      </w:pBdr>
      <w:tabs>
        <w:tab w:val="center" w:pos="4320"/>
        <w:tab w:val="right" w:pos="8640"/>
      </w:tabs>
      <w:rPr>
        <w:rFonts w:ascii="Lucida Bright" w:eastAsia="Lucida Bright" w:hAnsi="Lucida Bright" w:cs="Lucida Bright"/>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B56" w:rsidRDefault="00676B56">
      <w:r>
        <w:separator/>
      </w:r>
    </w:p>
  </w:footnote>
  <w:footnote w:type="continuationSeparator" w:id="0">
    <w:p w:rsidR="00676B56" w:rsidRDefault="00676B56">
      <w:r>
        <w:continuationSeparator/>
      </w:r>
    </w:p>
  </w:footnote>
  <w:footnote w:id="1">
    <w:p w:rsidR="00FA5283" w:rsidRPr="00624B9C" w:rsidRDefault="00676B56">
      <w:pPr>
        <w:pBdr>
          <w:top w:val="nil"/>
          <w:left w:val="nil"/>
          <w:bottom w:val="nil"/>
          <w:right w:val="nil"/>
          <w:between w:val="nil"/>
        </w:pBdr>
        <w:rPr>
          <w:i/>
          <w:color w:val="000000"/>
          <w:sz w:val="18"/>
          <w:szCs w:val="20"/>
        </w:rPr>
      </w:pPr>
      <w:r w:rsidRPr="00624B9C">
        <w:rPr>
          <w:sz w:val="22"/>
          <w:vertAlign w:val="superscript"/>
        </w:rPr>
        <w:footnoteRef/>
      </w:r>
      <w:r w:rsidRPr="00624B9C">
        <w:rPr>
          <w:color w:val="000000"/>
          <w:sz w:val="18"/>
          <w:szCs w:val="20"/>
        </w:rPr>
        <w:t xml:space="preserve"> </w:t>
      </w:r>
      <w:hyperlink r:id="rId1" w:history="1">
        <w:proofErr w:type="spellStart"/>
        <w:r w:rsidRPr="00624B9C">
          <w:rPr>
            <w:i/>
            <w:color w:val="0000FF"/>
            <w:sz w:val="18"/>
            <w:szCs w:val="20"/>
            <w:u w:val="single"/>
          </w:rPr>
          <w:t>Kimberlé</w:t>
        </w:r>
        <w:proofErr w:type="spellEnd"/>
        <w:r w:rsidRPr="00624B9C">
          <w:rPr>
            <w:i/>
            <w:color w:val="0000FF"/>
            <w:sz w:val="18"/>
            <w:szCs w:val="20"/>
            <w:u w:val="single"/>
          </w:rPr>
          <w:t xml:space="preserve"> Crenshaw</w:t>
        </w:r>
      </w:hyperlink>
      <w:r w:rsidRPr="00624B9C">
        <w:rPr>
          <w:i/>
          <w:color w:val="000000"/>
          <w:sz w:val="18"/>
          <w:szCs w:val="20"/>
        </w:rPr>
        <w:t xml:space="preserve"> (14 March 2016). </w:t>
      </w:r>
      <w:hyperlink r:id="rId2" w:history="1">
        <w:proofErr w:type="spellStart"/>
        <w:r w:rsidRPr="00624B9C">
          <w:rPr>
            <w:i/>
            <w:color w:val="0000FF"/>
            <w:sz w:val="18"/>
            <w:szCs w:val="20"/>
            <w:u w:val="single"/>
          </w:rPr>
          <w:t>Kimberlé</w:t>
        </w:r>
        <w:proofErr w:type="spellEnd"/>
        <w:r w:rsidRPr="00624B9C">
          <w:rPr>
            <w:i/>
            <w:color w:val="0000FF"/>
            <w:sz w:val="18"/>
            <w:szCs w:val="20"/>
            <w:u w:val="single"/>
          </w:rPr>
          <w:t xml:space="preserve"> Crenshaw – On Intersectionality – keynote – WOW 2016</w:t>
        </w:r>
      </w:hyperlink>
      <w:r w:rsidRPr="00624B9C">
        <w:rPr>
          <w:i/>
          <w:color w:val="000000"/>
          <w:sz w:val="18"/>
          <w:szCs w:val="20"/>
        </w:rPr>
        <w:t xml:space="preserve"> (Video). </w:t>
      </w:r>
      <w:hyperlink r:id="rId3" w:history="1">
        <w:r w:rsidRPr="00624B9C">
          <w:rPr>
            <w:i/>
            <w:color w:val="0000FF"/>
            <w:sz w:val="18"/>
            <w:szCs w:val="20"/>
            <w:u w:val="single"/>
          </w:rPr>
          <w:t>Southbank Centre</w:t>
        </w:r>
      </w:hyperlink>
      <w:r w:rsidRPr="00624B9C">
        <w:rPr>
          <w:i/>
          <w:color w:val="000000"/>
          <w:sz w:val="18"/>
          <w:szCs w:val="20"/>
        </w:rPr>
        <w:t xml:space="preserve"> via YouTube. Retrieved 7 Aug 2018.</w:t>
      </w:r>
    </w:p>
    <w:p w:rsidR="00D9401D" w:rsidRPr="00624B9C" w:rsidRDefault="00D9401D">
      <w:pPr>
        <w:pBdr>
          <w:top w:val="nil"/>
          <w:left w:val="nil"/>
          <w:bottom w:val="nil"/>
          <w:right w:val="nil"/>
          <w:between w:val="nil"/>
        </w:pBdr>
        <w:rPr>
          <w:i/>
          <w:color w:val="000000"/>
          <w:sz w:val="18"/>
          <w:szCs w:val="20"/>
        </w:rPr>
      </w:pPr>
    </w:p>
    <w:p w:rsidR="00D9401D" w:rsidRPr="00624B9C" w:rsidRDefault="00D9401D" w:rsidP="00D9401D">
      <w:pPr>
        <w:pBdr>
          <w:top w:val="nil"/>
          <w:left w:val="nil"/>
          <w:bottom w:val="nil"/>
          <w:right w:val="nil"/>
          <w:between w:val="nil"/>
        </w:pBdr>
        <w:rPr>
          <w:color w:val="000000"/>
          <w:sz w:val="14"/>
          <w:szCs w:val="20"/>
        </w:rPr>
      </w:pPr>
      <w:r w:rsidRPr="00624B9C">
        <w:rPr>
          <w:color w:val="000000"/>
          <w:sz w:val="14"/>
          <w:szCs w:val="20"/>
        </w:rPr>
        <w:t>An EEO/AA employer, University of Wisconsin-Extension provides equal opportunities in employment and programming, including Title VI, Title IX, and the Americans with Disabilities Act (ADA) requirements. Adapted with permission from the University of Minnesota Extension.</w:t>
      </w:r>
    </w:p>
    <w:p w:rsidR="00D9401D" w:rsidRDefault="00D9401D">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83" w:rsidRDefault="00FA5283">
    <w:pPr>
      <w:pBdr>
        <w:top w:val="nil"/>
        <w:left w:val="nil"/>
        <w:bottom w:val="nil"/>
        <w:right w:val="nil"/>
        <w:between w:val="nil"/>
      </w:pBdr>
      <w:tabs>
        <w:tab w:val="center" w:pos="4320"/>
        <w:tab w:val="right" w:pos="8640"/>
      </w:tabs>
      <w:rPr>
        <w:rFonts w:ascii="Lucida Bright" w:eastAsia="Lucida Bright" w:hAnsi="Lucida Bright" w:cs="Lucida Bright"/>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283" w:rsidRDefault="001C014A">
    <w:pPr>
      <w:pBdr>
        <w:top w:val="nil"/>
        <w:left w:val="nil"/>
        <w:bottom w:val="nil"/>
        <w:right w:val="nil"/>
        <w:between w:val="nil"/>
      </w:pBdr>
      <w:tabs>
        <w:tab w:val="center" w:pos="4320"/>
        <w:tab w:val="right" w:pos="8640"/>
      </w:tabs>
      <w:rPr>
        <w:rFonts w:ascii="Lucida Bright" w:eastAsia="Lucida Bright" w:hAnsi="Lucida Bright" w:cs="Lucida Bright"/>
        <w:color w:val="000000"/>
      </w:rPr>
    </w:pPr>
    <w:r w:rsidRPr="00781C3B">
      <w:rPr>
        <w:rFonts w:ascii="Times New Roman" w:eastAsia="Times New Roman" w:hAnsi="Times New Roman" w:cs="Times New Roman"/>
        <w:noProof/>
        <w:sz w:val="20"/>
        <w:szCs w:val="20"/>
      </w:rPr>
      <w:drawing>
        <wp:anchor distT="0" distB="0" distL="114300" distR="114300" simplePos="0" relativeHeight="251663872" behindDoc="1" locked="0" layoutInCell="1" allowOverlap="1" wp14:anchorId="1BA32C52" wp14:editId="5DE8142A">
          <wp:simplePos x="0" y="0"/>
          <wp:positionH relativeFrom="column">
            <wp:posOffset>-47625</wp:posOffset>
          </wp:positionH>
          <wp:positionV relativeFrom="paragraph">
            <wp:posOffset>-371475</wp:posOffset>
          </wp:positionV>
          <wp:extent cx="6515758" cy="899795"/>
          <wp:effectExtent l="0" t="0" r="0" b="0"/>
          <wp:wrapNone/>
          <wp:docPr id="5" name="Picture 5" descr="C:\Users\laura.gundlach\Desktop\H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a.gundlach\Desktop\Hea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58"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283" w:rsidRDefault="00FA5283">
    <w:pPr>
      <w:pBdr>
        <w:top w:val="nil"/>
        <w:left w:val="nil"/>
        <w:bottom w:val="nil"/>
        <w:right w:val="nil"/>
        <w:between w:val="nil"/>
      </w:pBdr>
      <w:tabs>
        <w:tab w:val="center" w:pos="4320"/>
        <w:tab w:val="right" w:pos="8640"/>
      </w:tabs>
      <w:rPr>
        <w:rFonts w:ascii="Lucida Bright" w:eastAsia="Lucida Bright" w:hAnsi="Lucida Bright" w:cs="Lucida Bright"/>
        <w:color w:val="000000"/>
      </w:rPr>
    </w:pPr>
  </w:p>
  <w:p w:rsidR="00FA5283" w:rsidRDefault="00FA5283">
    <w:pPr>
      <w:pBdr>
        <w:top w:val="nil"/>
        <w:left w:val="nil"/>
        <w:bottom w:val="nil"/>
        <w:right w:val="nil"/>
        <w:between w:val="nil"/>
      </w:pBdr>
      <w:tabs>
        <w:tab w:val="center" w:pos="4320"/>
        <w:tab w:val="right" w:pos="8640"/>
      </w:tabs>
      <w:rPr>
        <w:rFonts w:ascii="Lucida Bright" w:eastAsia="Lucida Bright" w:hAnsi="Lucida Bright" w:cs="Lucida Bright"/>
        <w:color w:val="000000"/>
      </w:rPr>
    </w:pPr>
  </w:p>
  <w:p w:rsidR="00FA5283" w:rsidRDefault="00FA5283">
    <w:pPr>
      <w:pBdr>
        <w:top w:val="nil"/>
        <w:left w:val="nil"/>
        <w:bottom w:val="nil"/>
        <w:right w:val="nil"/>
        <w:between w:val="nil"/>
      </w:pBdr>
      <w:tabs>
        <w:tab w:val="center" w:pos="4320"/>
        <w:tab w:val="right" w:pos="8640"/>
      </w:tabs>
      <w:rPr>
        <w:rFonts w:ascii="Lucida Bright" w:eastAsia="Lucida Bright" w:hAnsi="Lucida Bright" w:cs="Lucida Bright"/>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5283"/>
    <w:rsid w:val="001C014A"/>
    <w:rsid w:val="001F3C71"/>
    <w:rsid w:val="005620E2"/>
    <w:rsid w:val="0062135C"/>
    <w:rsid w:val="00624B9C"/>
    <w:rsid w:val="00676B56"/>
    <w:rsid w:val="00A205FE"/>
    <w:rsid w:val="00D9401D"/>
    <w:rsid w:val="00FA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401"/>
  <w15:docId w15:val="{52FD491F-D00E-435E-A91D-BFE8CA85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560011"/>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7A0019"/>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7A0019"/>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0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4A"/>
    <w:rPr>
      <w:rFonts w:ascii="Segoe UI" w:hAnsi="Segoe UI" w:cs="Segoe UI"/>
      <w:sz w:val="18"/>
      <w:szCs w:val="18"/>
    </w:rPr>
  </w:style>
  <w:style w:type="paragraph" w:styleId="Header">
    <w:name w:val="header"/>
    <w:basedOn w:val="Normal"/>
    <w:link w:val="HeaderChar"/>
    <w:uiPriority w:val="99"/>
    <w:unhideWhenUsed/>
    <w:rsid w:val="001C014A"/>
    <w:pPr>
      <w:tabs>
        <w:tab w:val="center" w:pos="4680"/>
        <w:tab w:val="right" w:pos="9360"/>
      </w:tabs>
    </w:pPr>
  </w:style>
  <w:style w:type="character" w:customStyle="1" w:styleId="HeaderChar">
    <w:name w:val="Header Char"/>
    <w:basedOn w:val="DefaultParagraphFont"/>
    <w:link w:val="Header"/>
    <w:uiPriority w:val="99"/>
    <w:rsid w:val="001C014A"/>
  </w:style>
  <w:style w:type="paragraph" w:styleId="Footer">
    <w:name w:val="footer"/>
    <w:basedOn w:val="Normal"/>
    <w:link w:val="FooterChar"/>
    <w:uiPriority w:val="99"/>
    <w:unhideWhenUsed/>
    <w:rsid w:val="001C014A"/>
    <w:pPr>
      <w:tabs>
        <w:tab w:val="center" w:pos="4680"/>
        <w:tab w:val="right" w:pos="9360"/>
      </w:tabs>
    </w:pPr>
  </w:style>
  <w:style w:type="character" w:customStyle="1" w:styleId="FooterChar">
    <w:name w:val="Footer Char"/>
    <w:basedOn w:val="DefaultParagraphFont"/>
    <w:link w:val="Footer"/>
    <w:uiPriority w:val="99"/>
    <w:rsid w:val="001C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outhbank_Centre" TargetMode="External"/><Relationship Id="rId2" Type="http://schemas.openxmlformats.org/officeDocument/2006/relationships/hyperlink" Target="https://www.youtube.com/watch?v=-DW4HLgYPlA" TargetMode="External"/><Relationship Id="rId1" Type="http://schemas.openxmlformats.org/officeDocument/2006/relationships/hyperlink" Target="https://en.wikipedia.org/wiki/Kimberl%C3%A9_Williams_Crensha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8C038-B6A1-4FDB-A3C2-CA4A6094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Gundlach, Laura</dc:creator>
  <cp:lastModifiedBy>Gundlach, Laura</cp:lastModifiedBy>
  <cp:revision>4</cp:revision>
  <dcterms:created xsi:type="dcterms:W3CDTF">2018-08-30T12:57:00Z</dcterms:created>
  <dcterms:modified xsi:type="dcterms:W3CDTF">2018-09-07T14:08:00Z</dcterms:modified>
</cp:coreProperties>
</file>